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1"/>
        <w:jc w:val="center"/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</w:r>
      <w:r>
        <w:rPr>
          <w:rFonts w:ascii="Times New Roman" w:hAnsi="Times New Roman" w:cs="Times New Roman"/>
          <w:b/>
          <w:caps/>
          <w:sz w:val="28"/>
          <w:szCs w:val="28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</w:r>
      <w:r>
        <w:rPr>
          <w:rFonts w:ascii="Times New Roman" w:hAnsi="Times New Roman" w:cs="Times New Roman"/>
          <w:b/>
          <w:caps/>
          <w:sz w:val="28"/>
          <w:szCs w:val="28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Предварительное информирование юридических и физических лиц, в том числе индивидуальных предпринимателей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о планируемой хозяйственной и иной деятельности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объекту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Реконструкция магистрального газопровода «Минск-Вильнюс»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DN 1200 в части устройства камеры приема внутритрубных устройств (км 197,7), Гродненская область, Островецкий район, в районе д. Котловка и устройством тройникового соединения DN 1200/700 (км 16,45) с крановым узлом DN 700, Минский район, в районе д.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Валицковщина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15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15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План-график работ по проведению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ОВОС</w:t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9288" w:type="dxa"/>
        <w:tblLook w:val="04A0" w:firstRow="1" w:lastRow="0" w:firstColumn="1" w:lastColumn="0" w:noHBand="0" w:noVBand="1"/>
      </w:tblPr>
      <w:tblGrid>
        <w:gridCol w:w="5203"/>
        <w:gridCol w:w="347"/>
        <w:gridCol w:w="1476"/>
        <w:gridCol w:w="506"/>
        <w:gridCol w:w="1756"/>
      </w:tblGrid>
      <w:tr>
        <w:tblPrEx/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Подготовка программы проведения ОВОС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7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0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6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Проведение предварительного информирования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юридических и физических лиц, в том числе индивидуальных предпринимателей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 планируемой хозяйственной и иной деятельности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7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.08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0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6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Подготовка уведомления о планируемой хозяйственной и иной деятельности 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8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не требуется*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6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Направление уведомления о планируемой хозяйственной и иной деятельности и программы проведения ОВОС затрагиваемым сторонам*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8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не требуется*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Подготовка отчета об ОВОС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7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0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Направление отчета об ОВОС затрагиваемым сторонам*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не требуется*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75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2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Проведение общественных обсуждений на территории: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7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75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52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Республики Беларусь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7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75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2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затрагиваемых сторон*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34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8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не требуется*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Проведение консультации по замечаниям затрагиваемых сторон*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7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82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не требуется*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9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Проведение собрания по обсуждению отчета об ОВОС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85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09.10.2026 по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30.11.2026**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(в случае необходимости доработки собрание может быть назначено не ранее чем через 25 календарных дней с даты начала общественных обсуждений и не позднее даты окончания общественных обсуждений)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203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Доработка отчета об ОВОС по замечаниям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3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147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01.12.2026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50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75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14.12.2026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3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085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 случае необходимости доработки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9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Представление отчета об ОВОС в составе предпроектной (предынвестиционной), проектной документации на государственную экологическую экспертизу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7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0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79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Принятие решения в отношении планируемой деятельности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7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января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0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5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февраль 2027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*заполняется в случае, если планируемая </w:t>
      </w:r>
      <w:r>
        <w:rPr>
          <w:rFonts w:ascii="Times New Roman" w:hAnsi="Times New Roman" w:cs="Times New Roman"/>
          <w:i/>
          <w:sz w:val="28"/>
          <w:szCs w:val="28"/>
        </w:rPr>
        <w:t xml:space="preserve">хозяйственная и иная </w:t>
      </w:r>
      <w:r>
        <w:rPr>
          <w:rFonts w:ascii="Times New Roman" w:hAnsi="Times New Roman" w:cs="Times New Roman"/>
          <w:i/>
          <w:sz w:val="28"/>
          <w:szCs w:val="28"/>
        </w:rPr>
        <w:t xml:space="preserve">деятельность может </w:t>
      </w:r>
      <w:r>
        <w:rPr>
          <w:rFonts w:ascii="Times New Roman" w:hAnsi="Times New Roman" w:cs="Times New Roman"/>
          <w:i/>
          <w:sz w:val="28"/>
          <w:szCs w:val="28"/>
        </w:rPr>
        <w:t xml:space="preserve">оказывать трансграничное воздействие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**срок выполнения может быть изменен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b/>
          <w:sz w:val="28"/>
          <w:szCs w:val="28"/>
        </w:rPr>
        <w:t xml:space="preserve">заказчике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 планируемой деятельности: </w:t>
      </w:r>
      <w:r>
        <w:rPr>
          <w:rFonts w:ascii="Times New Roman" w:hAnsi="Times New Roman" w:cs="Times New Roman"/>
          <w:bCs/>
          <w:sz w:val="28"/>
          <w:szCs w:val="28"/>
        </w:rPr>
        <w:t xml:space="preserve">ОАО</w:t>
      </w:r>
      <w:r>
        <w:rPr>
          <w:rFonts w:ascii="Times New Roman" w:hAnsi="Times New Roman" w:cs="Times New Roman"/>
          <w:bCs/>
          <w:sz w:val="28"/>
          <w:szCs w:val="28"/>
        </w:rPr>
        <w:t xml:space="preserve"> </w:t>
      </w:r>
      <w:r>
        <w:rPr>
          <w:rFonts w:ascii="Times New Roman" w:hAnsi="Times New Roman" w:cs="Times New Roman"/>
          <w:bCs/>
          <w:sz w:val="28"/>
          <w:szCs w:val="28"/>
        </w:rPr>
        <w:t xml:space="preserve">«Газпром трансгаз Беларусь»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Юридический а</w:t>
      </w:r>
      <w:r>
        <w:rPr>
          <w:rFonts w:ascii="Times New Roman" w:hAnsi="Times New Roman" w:cs="Times New Roman"/>
          <w:b/>
          <w:sz w:val="28"/>
          <w:szCs w:val="28"/>
        </w:rPr>
        <w:t xml:space="preserve">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Некрасова, д. 9, Мин</w:t>
      </w:r>
      <w:r>
        <w:rPr>
          <w:rFonts w:ascii="Times New Roman" w:hAnsi="Times New Roman" w:cs="Times New Roman"/>
          <w:sz w:val="28"/>
          <w:szCs w:val="28"/>
        </w:rPr>
        <w:t xml:space="preserve">ск, 220040, Республика Беларусь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площадки расположения объекта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км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197,7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участке </w:t>
      </w:r>
      <w:r>
        <w:rPr>
          <w:rFonts w:ascii="Times New Roman" w:hAnsi="Times New Roman" w:cs="Times New Roman"/>
          <w:sz w:val="28"/>
          <w:szCs w:val="28"/>
        </w:rPr>
        <w:t xml:space="preserve">МГ «Минск-Вильнюс»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Гродненская область, Островецкий район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в районе д. </w:t>
      </w:r>
      <w:r>
        <w:rPr>
          <w:rFonts w:ascii="Times New Roman" w:hAnsi="Times New Roman" w:cs="Times New Roman"/>
          <w:sz w:val="28"/>
          <w:szCs w:val="28"/>
        </w:rPr>
        <w:t xml:space="preserve">Котловка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км </w:t>
      </w:r>
      <w:r>
        <w:rPr>
          <w:rFonts w:ascii="Times New Roman" w:hAnsi="Times New Roman" w:cs="Times New Roman"/>
          <w:sz w:val="28"/>
          <w:szCs w:val="28"/>
        </w:rPr>
        <w:t xml:space="preserve">16,4</w:t>
      </w:r>
      <w:r>
        <w:rPr>
          <w:rFonts w:ascii="Times New Roman" w:hAnsi="Times New Roman" w:cs="Times New Roman"/>
          <w:sz w:val="28"/>
          <w:szCs w:val="28"/>
        </w:rPr>
        <w:t xml:space="preserve">5 на участке МГ </w:t>
      </w:r>
      <w:r>
        <w:rPr>
          <w:rFonts w:ascii="Times New Roman" w:hAnsi="Times New Roman" w:cs="Times New Roman"/>
          <w:sz w:val="28"/>
          <w:szCs w:val="28"/>
        </w:rPr>
        <w:t xml:space="preserve">«Минск-Вильнюс» </w:t>
      </w:r>
      <w:r>
        <w:rPr>
          <w:rFonts w:ascii="Times New Roman" w:hAnsi="Times New Roman" w:cs="Times New Roman"/>
          <w:sz w:val="28"/>
          <w:szCs w:val="28"/>
        </w:rPr>
        <w:t xml:space="preserve">в районе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Валицковщина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Самохваловичский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Минский район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 планируемой хозяйственной и иной деятельности и альтернативных вариантах ее размещения и (или) реализации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Устройство камеры приёма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очистного устройства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км 197,7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) на территории Гродненской области, Островецкого района, в районе д.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Котловка.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Устройство тройникового соединения DN 1200/700 (км 16,45) с крановым узлом DN 700, Минский район, </w:t>
      </w:r>
      <w:r>
        <w:rPr>
          <w:rFonts w:ascii="Times New Roman" w:hAnsi="Times New Roman" w:cs="Times New Roman"/>
          <w:sz w:val="28"/>
          <w:szCs w:val="28"/>
        </w:rPr>
        <w:t xml:space="preserve">Самохваловичский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сельсовет,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в районе д. 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Валицковщина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ind w:firstLine="709"/>
        <w:jc w:val="both"/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Альтернативные варианты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размещения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проектируемого объекта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Предпроектными решениями</w:t>
      </w:r>
      <w:r>
        <w:rPr>
          <w:rFonts w:ascii="Times New Roman" w:hAnsi="Times New Roman" w:cs="Times New Roman"/>
          <w:sz w:val="28"/>
          <w:szCs w:val="28"/>
        </w:rPr>
        <w:t xml:space="preserve"> рассматриваются следующие варианты размещения</w:t>
      </w:r>
      <w:r>
        <w:rPr>
          <w:rFonts w:ascii="Times New Roman" w:hAnsi="Times New Roman" w:cs="Times New Roman"/>
          <w:sz w:val="28"/>
          <w:szCs w:val="28"/>
        </w:rPr>
        <w:t xml:space="preserve"> проектируемой камеры приёма очистного устройства (КПОУ)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строительство КПОУ на км 193,5 МГ «Минск-Вильнюс» с использованием в технологической обвязк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камеры приёма существующих кранов узла подключения ГИС «Котловка» (КУ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№№</w:t>
      </w:r>
      <w:r>
        <w:rPr>
          <w:rFonts w:ascii="Times New Roman" w:hAnsi="Times New Roman" w:cs="Times New Roman"/>
          <w:sz w:val="28"/>
          <w:szCs w:val="28"/>
        </w:rPr>
        <w:t xml:space="preserve"> 37, </w:t>
      </w:r>
      <w:r>
        <w:rPr>
          <w:rFonts w:ascii="Times New Roman" w:hAnsi="Times New Roman" w:cs="Times New Roman"/>
          <w:sz w:val="28"/>
          <w:szCs w:val="28"/>
        </w:rPr>
        <w:t xml:space="preserve">38,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38А,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39)</w:t>
      </w:r>
      <w:r>
        <w:rPr>
          <w:rFonts w:ascii="Times New Roman" w:hAnsi="Times New Roman" w:cs="Times New Roman"/>
          <w:sz w:val="28"/>
          <w:szCs w:val="28"/>
        </w:rPr>
        <w:t xml:space="preserve">. Ближайшая жилая застройка </w:t>
      </w:r>
      <w:r>
        <w:rPr>
          <w:rFonts w:ascii="Times New Roman" w:hAnsi="Times New Roman" w:cs="Times New Roman"/>
          <w:sz w:val="28"/>
          <w:szCs w:val="28"/>
        </w:rPr>
        <w:t xml:space="preserve">д.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Котловка </w:t>
      </w:r>
      <w:r>
        <w:rPr>
          <w:rFonts w:ascii="Times New Roman" w:hAnsi="Times New Roman" w:cs="Times New Roman"/>
          <w:sz w:val="28"/>
          <w:szCs w:val="28"/>
        </w:rPr>
        <w:t xml:space="preserve">расположена в </w:t>
      </w:r>
      <w:r>
        <w:rPr>
          <w:rFonts w:ascii="Times New Roman" w:hAnsi="Times New Roman" w:cs="Times New Roman"/>
          <w:sz w:val="28"/>
          <w:szCs w:val="28"/>
        </w:rPr>
        <w:t xml:space="preserve">юго-западном</w:t>
      </w:r>
      <w:r>
        <w:rPr>
          <w:rFonts w:ascii="Times New Roman" w:hAnsi="Times New Roman" w:cs="Times New Roman"/>
          <w:sz w:val="28"/>
          <w:szCs w:val="28"/>
        </w:rPr>
        <w:t xml:space="preserve"> направлении на расстоянии </w:t>
      </w:r>
      <w:r>
        <w:rPr>
          <w:rFonts w:ascii="Times New Roman" w:hAnsi="Times New Roman" w:cs="Times New Roman"/>
          <w:sz w:val="28"/>
          <w:szCs w:val="28"/>
        </w:rPr>
        <w:t xml:space="preserve">ориентировочно</w:t>
      </w:r>
      <w:r>
        <w:rPr>
          <w:rFonts w:ascii="Times New Roman" w:hAnsi="Times New Roman" w:cs="Times New Roman"/>
          <w:sz w:val="28"/>
          <w:szCs w:val="28"/>
        </w:rPr>
        <w:t xml:space="preserve"> 650 метр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Для реализации проектных решений требуется дополнительный земельный участок из земель лесного фонда.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строительство КПОУ на км 197,7 МГ «Минск-Вильнюс» в непосредственной близости от пересечения с государственной границей Республики Беларусь</w:t>
      </w:r>
      <w:r>
        <w:rPr>
          <w:rFonts w:ascii="Times New Roman" w:hAnsi="Times New Roman" w:cs="Times New Roman"/>
          <w:sz w:val="28"/>
          <w:szCs w:val="28"/>
        </w:rPr>
        <w:t xml:space="preserve"> (около 130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м по прямой до государственной границы в северо-западном направлении)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С целью перекладки участков газопровода требуется дополнительный отвод из земель лесного фонда.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III</w:t>
      </w:r>
      <w:r>
        <w:rPr>
          <w:rFonts w:ascii="Times New Roman" w:hAnsi="Times New Roman" w:cs="Times New Roman"/>
          <w:sz w:val="28"/>
          <w:szCs w:val="28"/>
        </w:rPr>
        <w:t xml:space="preserve"> – отказ </w:t>
      </w:r>
      <w:r>
        <w:rPr>
          <w:rFonts w:ascii="Times New Roman" w:hAnsi="Times New Roman" w:cs="Times New Roman"/>
          <w:sz w:val="28"/>
          <w:szCs w:val="28"/>
        </w:rPr>
        <w:t xml:space="preserve">от реализации проектных решений</w:t>
      </w:r>
      <w:r>
        <w:rPr>
          <w:rFonts w:ascii="Times New Roman" w:hAnsi="Times New Roman" w:cs="Times New Roman"/>
          <w:sz w:val="28"/>
          <w:szCs w:val="28"/>
        </w:rPr>
        <w:t xml:space="preserve"> («нулевая» альтернатива)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анализа, </w:t>
      </w:r>
      <w:r>
        <w:rPr>
          <w:rFonts w:ascii="Times New Roman" w:hAnsi="Times New Roman" w:cs="Times New Roman"/>
          <w:b/>
          <w:sz w:val="28"/>
          <w:szCs w:val="28"/>
        </w:rPr>
        <w:t xml:space="preserve">в</w:t>
      </w:r>
      <w:r>
        <w:rPr>
          <w:rFonts w:ascii="Times New Roman" w:hAnsi="Times New Roman" w:cs="Times New Roman"/>
          <w:b/>
          <w:sz w:val="28"/>
          <w:szCs w:val="28"/>
        </w:rPr>
        <w:t xml:space="preserve">ариант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 размещения КПОУ (км </w:t>
      </w:r>
      <w:r>
        <w:rPr>
          <w:rFonts w:ascii="Times New Roman" w:hAnsi="Times New Roman" w:cs="Times New Roman"/>
          <w:sz w:val="28"/>
          <w:szCs w:val="28"/>
        </w:rPr>
        <w:t xml:space="preserve">19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является приоритетным вариантом планируемой хозяйственной деятельности.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оздействие на компоненты природной среды</w:t>
      </w:r>
      <w:r>
        <w:rPr>
          <w:rFonts w:ascii="Times New Roman" w:hAnsi="Times New Roman" w:cs="Times New Roman"/>
          <w:sz w:val="28"/>
          <w:szCs w:val="28"/>
        </w:rPr>
        <w:t xml:space="preserve"> незначительно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В отношении места размещения строительства кранового узла альтернативным вариантом является </w:t>
      </w:r>
      <w:r>
        <w:rPr>
          <w:rFonts w:ascii="Times New Roman" w:hAnsi="Times New Roman" w:cs="Times New Roman"/>
          <w:sz w:val="28"/>
          <w:szCs w:val="28"/>
        </w:rPr>
        <w:t xml:space="preserve">отказ от реализации проектных решений.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before="12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Альтернативные варианты технологических решений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альтернативных вариантов технологических решений рассматриваются </w:t>
      </w:r>
      <w:r>
        <w:rPr>
          <w:rFonts w:ascii="Times New Roman" w:hAnsi="Times New Roman" w:cs="Times New Roman"/>
          <w:sz w:val="28"/>
          <w:szCs w:val="28"/>
        </w:rPr>
        <w:t xml:space="preserve">следующие варианты: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 устройстве КПОУ на км </w:t>
      </w:r>
      <w:r>
        <w:rPr>
          <w:rFonts w:ascii="Times New Roman" w:hAnsi="Times New Roman" w:cs="Times New Roman"/>
          <w:bCs/>
          <w:sz w:val="28"/>
          <w:szCs w:val="28"/>
        </w:rPr>
        <w:t xml:space="preserve">193,5 </w:t>
      </w:r>
      <w:r>
        <w:rPr>
          <w:rFonts w:ascii="Times New Roman" w:hAnsi="Times New Roman" w:cs="Times New Roman"/>
          <w:bCs/>
          <w:sz w:val="28"/>
          <w:szCs w:val="28"/>
        </w:rPr>
        <w:t xml:space="preserve">МГ </w:t>
      </w:r>
      <w:r>
        <w:rPr>
          <w:rFonts w:ascii="Times New Roman" w:hAnsi="Times New Roman" w:cs="Times New Roman"/>
          <w:bCs/>
          <w:sz w:val="28"/>
          <w:szCs w:val="28"/>
        </w:rPr>
        <w:t xml:space="preserve">«Минск-Вильнюс» в районе ГИС </w:t>
      </w:r>
      <w:r>
        <w:rPr>
          <w:rFonts w:ascii="Times New Roman" w:hAnsi="Times New Roman" w:cs="Times New Roman"/>
          <w:bCs/>
          <w:sz w:val="28"/>
          <w:szCs w:val="28"/>
        </w:rPr>
        <w:t xml:space="preserve">«Котловка» предусматривается: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строительство одной общей площадки камеры приёма, технологическая обвязка которой включает в себя </w:t>
      </w:r>
      <w:r>
        <w:rPr>
          <w:rFonts w:ascii="Times New Roman" w:hAnsi="Times New Roman" w:cs="Times New Roman"/>
          <w:bCs/>
          <w:sz w:val="28"/>
          <w:szCs w:val="28"/>
        </w:rPr>
        <w:t xml:space="preserve">уз</w:t>
      </w:r>
      <w:r>
        <w:rPr>
          <w:rFonts w:ascii="Times New Roman" w:hAnsi="Times New Roman" w:cs="Times New Roman"/>
          <w:bCs/>
          <w:sz w:val="28"/>
          <w:szCs w:val="28"/>
        </w:rPr>
        <w:t xml:space="preserve">е</w:t>
      </w:r>
      <w:r>
        <w:rPr>
          <w:rFonts w:ascii="Times New Roman" w:hAnsi="Times New Roman" w:cs="Times New Roman"/>
          <w:bCs/>
          <w:sz w:val="28"/>
          <w:szCs w:val="28"/>
        </w:rPr>
        <w:t xml:space="preserve">л подключения ГИС </w:t>
      </w:r>
      <w:r>
        <w:rPr>
          <w:rFonts w:ascii="Times New Roman" w:hAnsi="Times New Roman" w:cs="Times New Roman"/>
          <w:bCs/>
          <w:sz w:val="28"/>
          <w:szCs w:val="28"/>
        </w:rPr>
        <w:t xml:space="preserve">«Котловка» с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соответствующими кранами, км </w:t>
      </w:r>
      <w:r>
        <w:rPr>
          <w:rFonts w:ascii="Times New Roman" w:hAnsi="Times New Roman" w:cs="Times New Roman"/>
          <w:bCs/>
          <w:sz w:val="28"/>
          <w:szCs w:val="28"/>
        </w:rPr>
        <w:t xml:space="preserve">193,5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устройством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обводной линии.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Целесообразность осуществления варианта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:</w:t>
      </w:r>
      <w:r>
        <w:rPr>
          <w:rFonts w:ascii="Times New Roman" w:hAnsi="Times New Roman" w:cs="Times New Roman"/>
          <w:bCs/>
          <w:i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отсутствие необходимости строительства и ввода в эксплуатацию дополнительного кранового узла</w:t>
      </w:r>
      <w:r>
        <w:rPr>
          <w:rFonts w:ascii="Times New Roman" w:hAnsi="Times New Roman" w:cs="Times New Roman"/>
          <w:bCs/>
          <w:sz w:val="28"/>
          <w:szCs w:val="28"/>
        </w:rPr>
        <w:t xml:space="preserve">;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отсутствие необходимости обустройства дополнительного подъездного пути к площадке КПОУ значительной протяженности (относительно варианта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bCs/>
          <w:sz w:val="28"/>
          <w:szCs w:val="28"/>
        </w:rPr>
        <w:t xml:space="preserve">);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отсутствие необходимости строительство трансформаторной подстанции и сетей 10</w:t>
      </w:r>
      <w:r>
        <w:rPr>
          <w:rFonts w:ascii="Times New Roman" w:hAnsi="Times New Roman" w:cs="Times New Roman"/>
          <w:bCs/>
          <w:sz w:val="28"/>
          <w:szCs w:val="28"/>
        </w:rPr>
        <w:t xml:space="preserve">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кВ</w:t>
      </w:r>
      <w:r>
        <w:rPr>
          <w:rFonts w:ascii="Times New Roman" w:hAnsi="Times New Roman" w:cs="Times New Roman"/>
          <w:bCs/>
          <w:sz w:val="28"/>
          <w:szCs w:val="28"/>
        </w:rPr>
        <w:t xml:space="preserve">;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отсутствие необходимости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строительства блок-бокса КП ТМ.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 устройстве КПОУ на км </w:t>
      </w:r>
      <w:r>
        <w:rPr>
          <w:rFonts w:ascii="Times New Roman" w:hAnsi="Times New Roman" w:cs="Times New Roman"/>
          <w:bCs/>
          <w:sz w:val="28"/>
          <w:szCs w:val="28"/>
        </w:rPr>
        <w:t xml:space="preserve">197,7 МГ «Минск-Вильнюс» в районе границы Республики Беларусь с Литовско</w:t>
      </w:r>
      <w:r>
        <w:rPr>
          <w:rFonts w:ascii="Times New Roman" w:hAnsi="Times New Roman" w:cs="Times New Roman"/>
          <w:bCs/>
          <w:sz w:val="28"/>
          <w:szCs w:val="28"/>
        </w:rPr>
        <w:t xml:space="preserve">й Республикой предусматривается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строительство камеры приёма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МГ «Минск-Вильнюс», км </w:t>
      </w:r>
      <w:r>
        <w:rPr>
          <w:rFonts w:ascii="Times New Roman" w:hAnsi="Times New Roman" w:cs="Times New Roman"/>
          <w:bCs/>
          <w:sz w:val="28"/>
          <w:szCs w:val="28"/>
        </w:rPr>
        <w:t xml:space="preserve">197,7 на новой площадке.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Целесообразность осуществления варианта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bCs/>
          <w:sz w:val="28"/>
          <w:szCs w:val="28"/>
        </w:rPr>
        <w:t xml:space="preserve"> возможность проведения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внутритрубной диагностики (</w:t>
      </w:r>
      <w:r>
        <w:rPr>
          <w:rFonts w:ascii="Times New Roman" w:hAnsi="Times New Roman" w:cs="Times New Roman"/>
          <w:bCs/>
          <w:sz w:val="28"/>
          <w:szCs w:val="28"/>
        </w:rPr>
        <w:t xml:space="preserve">ВТД</w:t>
      </w:r>
      <w:r>
        <w:rPr>
          <w:rFonts w:ascii="Times New Roman" w:hAnsi="Times New Roman" w:cs="Times New Roman"/>
          <w:bCs/>
          <w:sz w:val="28"/>
          <w:szCs w:val="28"/>
        </w:rPr>
        <w:t xml:space="preserve">)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4 км больше по сравнению с вариантом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позволит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прове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ВТД на всём протяжении МГ</w:t>
      </w:r>
      <w:r>
        <w:rPr>
          <w:rFonts w:ascii="Times New Roman" w:hAnsi="Times New Roman" w:cs="Times New Roman"/>
          <w:bCs/>
          <w:sz w:val="28"/>
          <w:szCs w:val="28"/>
        </w:rPr>
        <w:t xml:space="preserve"> </w:t>
      </w:r>
      <w:r>
        <w:rPr>
          <w:rFonts w:ascii="Times New Roman" w:hAnsi="Times New Roman" w:cs="Times New Roman"/>
          <w:bCs/>
          <w:sz w:val="28"/>
          <w:szCs w:val="28"/>
        </w:rPr>
        <w:t xml:space="preserve">«Минск-Вильнюс» на территории Республики Беларусь.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«Нулевая альтернатива»</w:t>
      </w:r>
      <w:r>
        <w:rPr>
          <w:rFonts w:ascii="Times New Roman" w:hAnsi="Times New Roman" w:cs="Times New Roman"/>
          <w:sz w:val="28"/>
          <w:szCs w:val="28"/>
        </w:rPr>
        <w:t xml:space="preserve"> – отказ от реализации проектных решений.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/>
      <w:bookmarkStart w:id="0" w:name="_Hlk117256652"/>
      <w:r>
        <w:rPr>
          <w:rFonts w:ascii="Times New Roman" w:hAnsi="Times New Roman" w:cs="Times New Roman"/>
          <w:bCs/>
          <w:sz w:val="28"/>
          <w:szCs w:val="28"/>
        </w:rPr>
        <w:t xml:space="preserve">Из</w:t>
      </w:r>
      <w:r>
        <w:rPr>
          <w:rFonts w:ascii="Times New Roman" w:hAnsi="Times New Roman" w:cs="Times New Roman"/>
          <w:bCs/>
          <w:sz w:val="28"/>
          <w:szCs w:val="28"/>
        </w:rPr>
        <w:t xml:space="preserve"> анализа </w:t>
      </w:r>
      <w:r>
        <w:rPr>
          <w:rFonts w:ascii="Times New Roman" w:hAnsi="Times New Roman" w:cs="Times New Roman"/>
          <w:bCs/>
          <w:sz w:val="28"/>
          <w:szCs w:val="28"/>
        </w:rPr>
        <w:t xml:space="preserve">вариантов технологических решений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реализации выбран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вариант II</w:t>
      </w:r>
      <w:r>
        <w:rPr>
          <w:rFonts w:ascii="Times New Roman" w:hAnsi="Times New Roman" w:cs="Times New Roman"/>
          <w:bCs/>
          <w:sz w:val="28"/>
          <w:szCs w:val="28"/>
        </w:rPr>
        <w:t xml:space="preserve"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который позволит своевременно выявлять дефекты, возник</w:t>
      </w:r>
      <w:r>
        <w:rPr>
          <w:rFonts w:ascii="Times New Roman" w:hAnsi="Times New Roman" w:cs="Times New Roman"/>
          <w:bCs/>
          <w:sz w:val="28"/>
          <w:szCs w:val="28"/>
        </w:rPr>
        <w:t xml:space="preserve">ающие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 эксплуатации МГ, </w:t>
      </w:r>
      <w:r>
        <w:rPr>
          <w:rFonts w:ascii="Times New Roman" w:hAnsi="Times New Roman" w:cs="Times New Roman"/>
          <w:bCs/>
          <w:sz w:val="28"/>
          <w:szCs w:val="28"/>
        </w:rPr>
        <w:t xml:space="preserve">снизить риск возникновения аварийных ситуаций</w:t>
      </w:r>
      <w:r>
        <w:rPr>
          <w:rFonts w:ascii="Times New Roman" w:hAnsi="Times New Roman" w:cs="Times New Roman"/>
          <w:bCs/>
          <w:sz w:val="28"/>
          <w:szCs w:val="28"/>
        </w:rPr>
        <w:t xml:space="preserve">; минимизировать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воздействие на основные компоненты окружающе</w:t>
      </w:r>
      <w:r>
        <w:rPr>
          <w:rFonts w:ascii="Times New Roman" w:hAnsi="Times New Roman" w:cs="Times New Roman"/>
          <w:bCs/>
          <w:sz w:val="28"/>
          <w:szCs w:val="28"/>
        </w:rPr>
        <w:t xml:space="preserve">й среды.</w:t>
      </w:r>
      <w:bookmarkEnd w:id="0"/>
      <w:r/>
      <w:r>
        <w:rPr>
          <w:rFonts w:ascii="Times New Roman" w:hAnsi="Times New Roman" w:cs="Times New Roman"/>
          <w:bCs/>
          <w:sz w:val="28"/>
          <w:szCs w:val="28"/>
        </w:rPr>
      </w:r>
    </w:p>
    <w:sectPr>
      <w:footnotePr/>
      <w:endnotePr/>
      <w:type w:val="nextPage"/>
      <w:pgSz w:w="11906" w:h="16838" w:orient="portrait"/>
      <w:pgMar w:top="142" w:right="850" w:bottom="993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Segoe UI">
    <w:panose1 w:val="020B0503020204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space"/>
      <w:lvlText w:val=""/>
      <w:lvlJc w:val="left"/>
      <w:pPr>
        <w:ind w:left="390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0"/>
    <w:next w:val="62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1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0"/>
    <w:next w:val="62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1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0"/>
    <w:next w:val="62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1"/>
    <w:link w:val="35"/>
    <w:uiPriority w:val="10"/>
    <w:rPr>
      <w:sz w:val="48"/>
      <w:szCs w:val="48"/>
    </w:rPr>
  </w:style>
  <w:style w:type="paragraph" w:styleId="37">
    <w:name w:val="Subtitle"/>
    <w:basedOn w:val="620"/>
    <w:next w:val="62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1"/>
    <w:link w:val="37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1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1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1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1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1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character" w:styleId="624">
    <w:name w:val="Hyperlink"/>
    <w:basedOn w:val="621"/>
    <w:uiPriority w:val="99"/>
    <w:unhideWhenUsed/>
    <w:rPr>
      <w:color w:val="0563c1" w:themeColor="hyperlink"/>
      <w:u w:val="single"/>
    </w:rPr>
  </w:style>
  <w:style w:type="table" w:styleId="625">
    <w:name w:val="Table Grid"/>
    <w:basedOn w:val="62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26" w:customStyle="1">
    <w:name w:val="Неразрешенное упоминание1"/>
    <w:basedOn w:val="621"/>
    <w:uiPriority w:val="99"/>
    <w:semiHidden/>
    <w:unhideWhenUsed/>
    <w:rPr>
      <w:color w:val="605e5c"/>
      <w:shd w:val="clear" w:color="auto" w:fill="e1dfdd"/>
    </w:rPr>
  </w:style>
  <w:style w:type="paragraph" w:styleId="627">
    <w:name w:val="Balloon Text"/>
    <w:basedOn w:val="620"/>
    <w:link w:val="62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28" w:customStyle="1">
    <w:name w:val="Текст выноски Знак"/>
    <w:basedOn w:val="621"/>
    <w:link w:val="627"/>
    <w:uiPriority w:val="99"/>
    <w:semiHidden/>
    <w:rPr>
      <w:rFonts w:ascii="Segoe UI" w:hAnsi="Segoe UI" w:cs="Segoe UI"/>
      <w:sz w:val="18"/>
      <w:szCs w:val="18"/>
    </w:rPr>
  </w:style>
  <w:style w:type="paragraph" w:styleId="629" w:customStyle="1">
    <w:name w:val="Знак"/>
    <w:basedOn w:val="620"/>
    <w:pPr>
      <w:ind w:firstLine="257"/>
      <w:spacing w:after="0" w:line="240" w:lineRule="auto"/>
    </w:pPr>
    <w:rPr>
      <w:rFonts w:ascii="Arial" w:hAnsi="Arial" w:eastAsia="Times New Roman" w:cs="Arial"/>
      <w:sz w:val="20"/>
      <w:szCs w:val="20"/>
      <w:lang w:val="en-ZA" w:eastAsia="en-ZA"/>
    </w:rPr>
  </w:style>
  <w:style w:type="paragraph" w:styleId="630">
    <w:name w:val="List Paragraph"/>
    <w:basedOn w:val="620"/>
    <w:link w:val="631"/>
    <w:uiPriority w:val="34"/>
    <w:qFormat/>
    <w:pPr>
      <w:contextualSpacing/>
      <w:ind w:left="720"/>
      <w:spacing w:before="240" w:after="24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31" w:customStyle="1">
    <w:name w:val="Абзац списка Знак"/>
    <w:link w:val="630"/>
    <w:uiPriority w:val="34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32">
    <w:name w:val="annotation reference"/>
    <w:basedOn w:val="621"/>
    <w:uiPriority w:val="99"/>
    <w:semiHidden/>
    <w:unhideWhenUsed/>
    <w:rPr>
      <w:sz w:val="16"/>
      <w:szCs w:val="16"/>
    </w:rPr>
  </w:style>
  <w:style w:type="paragraph" w:styleId="633">
    <w:name w:val="annotation text"/>
    <w:basedOn w:val="620"/>
    <w:link w:val="634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34" w:customStyle="1">
    <w:name w:val="Текст примечания Знак"/>
    <w:basedOn w:val="621"/>
    <w:link w:val="633"/>
    <w:uiPriority w:val="99"/>
    <w:semiHidden/>
    <w:rPr>
      <w:sz w:val="20"/>
      <w:szCs w:val="20"/>
    </w:rPr>
  </w:style>
  <w:style w:type="paragraph" w:styleId="635">
    <w:name w:val="annotation subject"/>
    <w:basedOn w:val="633"/>
    <w:next w:val="633"/>
    <w:link w:val="636"/>
    <w:uiPriority w:val="99"/>
    <w:semiHidden/>
    <w:unhideWhenUsed/>
    <w:rPr>
      <w:b/>
      <w:bCs/>
    </w:rPr>
  </w:style>
  <w:style w:type="character" w:styleId="636" w:customStyle="1">
    <w:name w:val="Тема примечания Знак"/>
    <w:basedOn w:val="634"/>
    <w:link w:val="635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Юркойть Антон Андреевич</cp:lastModifiedBy>
  <cp:revision>3</cp:revision>
  <dcterms:created xsi:type="dcterms:W3CDTF">2026-08-19T05:36:00Z</dcterms:created>
  <dcterms:modified xsi:type="dcterms:W3CDTF">2026-08-20T09:57:30Z</dcterms:modified>
</cp:coreProperties>
</file>